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282</w:t>
      </w:r>
    </w:p>
    <w:p>
      <w:r>
        <w:t>Bundesgericht (BGE), 2002-07-02, DE</w:t>
      </w:r>
    </w:p>
    <w:p>
      <w:r>
        <w:rPr>
          <w:b/>
        </w:rPr>
        <w:t xml:space="preserve">Quelle: </w:t>
      </w:r>
      <w:r>
        <w:t>https://mcp.opencaselaw.ch/entscheid/bge_128 II 282</w:t>
      </w:r>
    </w:p>
    <w:p>
      <w:r>
        <w:t>FR: ATF 128 II 282</w:t>
      </w:r>
    </w:p>
    <w:p>
      <w:r>
        <w:t>IT: DTF 128 II 282</w:t>
      </w:r>
    </w:p>
    <w:p>
      <w:pPr>
        <w:pStyle w:val="Heading2"/>
      </w:pPr>
      <w:r>
        <w:t>Regeste</w:t>
      </w:r>
    </w:p>
    <w:p>
      <w:r>
        <w:t>Regeste Art. 16 Abs. 2 und 3 lit. a, Art. 36 Abs. 3 SVG; Missachtung des Vortritts beim Linksabbiegen. Trifft einen Motorfahrzeuglenker mehr als nur ein leichtes Verschulden, ist der Führerausweis selbst bei einem über lange Jahre ungetrübten fahrerischen Leumund grundsätzlich zu entziehen (E. 3.5; Bestätigung der Rechtsprechung).</w:t>
      </w:r>
    </w:p>
    <w:p>
      <w:pPr>
        <w:pStyle w:val="Heading2"/>
      </w:pPr>
      <w:r>
        <w:t>Erwägungen</w:t>
      </w:r>
    </w:p>
    <w:p>
      <w:r>
        <w:rPr>
          <w:b/>
        </w:rPr>
        <w:t>E. 3</w:t>
      </w:r>
    </w:p>
    <w:p>
      <w:r>
        <w:t>(...)</w:t>
      </w:r>
    </w:p>
    <w:p>
      <w:r>
        <w:rPr>
          <w:b/>
        </w:rPr>
        <w:t>E. 3.5</w:t>
      </w:r>
    </w:p>
    <w:p>
      <w:r>
        <w:t>Das Bundesgericht hat in BGE 126 II 202 E. 1c S. 206 erwogen, es sei einzuräumen, dass die Rechtsprechung, wonach in mittelschweren Fällen gemäss Art. 16 Abs. 2 Satz 1 SVG der Führerausweis in der Regel selbst bei einem über lange Jahre ungetrübten fahrerischen Leumund zu entziehen sei, als hart angesehen werden könne. Doch könne nur der Gesetzgeber etwas daran ändern, "sei es, dass er für Fälle dieser Art auch den bedingten Ausweisentzug vorsieht oder den Anwendungsbereich der Verwarnung bei gutem automobilistischen Leumund ausweitet auf den Bereich des mittelschweren Verschuldens." Der Gesetzgeber hat zeitlich nach diesem Entscheid am 14. Dezember 2001 eine Teilrevision des Strassenverkehrsgesetzes, namentlich der Bestimmungen zum Führerausweisentzug, beschlossen (BBl 2001 S. 6499 ff.). Die Referendumsfrist ist am 7. April 2002 ungenutzt abgelaufen. Die Gesetzesänderung ist zwar BGE 128 II 282 S. 284 noch nicht in Kraft getreten, doch kann bei der Auslegung des geltenden Rechts auf laufende Revisionen Bezug genommen werden (vgl. BGE 110 II 293 E. 2a, e und f sowie E. 3a; BGE 117 IV 276 E. 3c, d und e; BGE 118 IV 52 E. 2c und d; BGE 127 IV 97 E. 1b; BGE 128 IV 3 E. 4c, 25). Es ist deshalb zu prüfen, ob die verabschiedete Teilrevision des Strassenverkehrsgesetzes Anlass gibt, die bisherige Rechtsprechung zu Art. 16 Abs. 2 SVG zu überdenken. Der Gesetzgeber hat bei der Teilrevision des Strassenverkehrsgesetzes vom 14. Dezember 2001 offensichtlich die Rechtsprechung des Bundesgerichts zum Ausgangspunkt genommen. Statt einer Milderung des geltenden Rechts im Sinne der in BGE 126 II 202 E. 1c S. 206 aufgezeigten Möglichkeiten hat er die Normen jedoch erheblich verschärft. So hat er die doppelte Kann-Vorschrift in Art. 16 Abs. 2 SVG eliminiert. Gemäss Art. 16 Abs. 2 SVG in der revidierten Fassung (nachfolgend rev. F.) "wird der Lernfahr- oder Führerausweis entzogen oder eine Verwarnung ausgesprochen" nach "Widerhandlungen gegen die Strassenverkehrsvorschriften, bei denen das Verfahren nach dem Ordnungsbussengesetz vom 24. Juni 1970 ausgeschlossen ist". Eine leichte Widerhandlung begeht nach dem revidierten Gesetz, wer "durch Verletzung von Verkehrsregeln eine geringe Gefahr für die Sicherheit anderer hervorruft und ihn dabei nur ein leichtes Verschulden trifft" ( Art. 16a Abs. 1 lit. a SVG rev. F.), eine mittelschwere, wer "durch Verletzung von Verkehrsregeln eine Gefahr für die Sicherheit anderer hervorruft oder in Kauf nimmt" ( Art. 16b Abs. 1 lit. a SVG rev. F.). In leichten Fällen kann auf einen Führerausweisentzug nur verzichtet werden, wenn dem fehlbaren Fahrzeuglenker "in den vorangegangenen zwei Jahren der Ausweis" nicht "entzogen worden war und keine andere Administrativmassnahme verfügt wurde" (vgl. Art. 16a Abs. 2 und 3 SVG rev. F.). Bei einer mittelschweren Widerhandlung sieht das Gesetz neu zwingend den Entzug des Führerausweises für die Dauer von mindestens einem Monat vor ( Art. 16b Abs. 2 lit. a SVG rev. F.). Der Gesetzgeber hat damit klargestellt, dass in mittelschweren Fällen künftig auch bei ungetrübtem fahrerischem Leumund zwingend ein Führerausweisentzug anzuordnen ist. Der mittelschwere Fall wird jedenfalls nach dem Gesetzeswortlaut zudem neu nicht mehr nach dem Grad des Verschuldens bestimmt, sondern allein danach, ob der Fahrzeuglenker eine Gefahr für die Sicherheit anderer geschaffen oder in Kauf genommen hat. Wie nach geltendem Recht und bisheriger Rechtsprechung wird der gute automobilistische Leumund auch künftig lediglich für die Festsetzung BGE 128 II 282 S. 285 der Dauer des Führerausweisentzugs eine Rolle spielen (vgl. Art. 16 Abs. 3 SVG rev. F.). Angesichts der dargelegten erheblichen Verschärfung der Normen zum Führerausweisentzug besteht heute kein Anlass zu einer Milderung der Rechtsprechung zum geltenden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